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9F46" w14:textId="77777777" w:rsidR="00E76095" w:rsidRDefault="00E76095" w:rsidP="00E76095">
      <w:pPr>
        <w:pStyle w:val="BodyText"/>
        <w:kinsoku w:val="0"/>
        <w:overflowPunct w:val="0"/>
        <w:spacing w:line="273" w:lineRule="auto"/>
        <w:ind w:left="0" w:right="174"/>
        <w:jc w:val="right"/>
        <w:rPr>
          <w:spacing w:val="-1"/>
        </w:rPr>
      </w:pPr>
      <w:bookmarkStart w:id="0" w:name="_GoBack"/>
      <w:bookmarkEnd w:id="0"/>
      <w:r>
        <w:rPr>
          <w:noProof/>
        </w:rPr>
        <w:drawing>
          <wp:inline distT="0" distB="0" distL="0" distR="0" wp14:anchorId="4C5F0BAC" wp14:editId="5803BFBC">
            <wp:extent cx="1714500" cy="609600"/>
            <wp:effectExtent l="0" t="0" r="0" b="0"/>
            <wp:docPr id="9" name="Picture 9" descr="BDC Logo Mediu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609600"/>
                    </a:xfrm>
                    <a:prstGeom prst="rect">
                      <a:avLst/>
                    </a:prstGeom>
                  </pic:spPr>
                </pic:pic>
              </a:graphicData>
            </a:graphic>
          </wp:inline>
        </w:drawing>
      </w:r>
    </w:p>
    <w:p w14:paraId="743302AA" w14:textId="77777777" w:rsidR="00E76095" w:rsidRDefault="00E76095" w:rsidP="00E76095">
      <w:pPr>
        <w:pStyle w:val="BodyText"/>
        <w:kinsoku w:val="0"/>
        <w:overflowPunct w:val="0"/>
        <w:spacing w:line="273" w:lineRule="auto"/>
        <w:ind w:right="174"/>
        <w:jc w:val="right"/>
        <w:rPr>
          <w:spacing w:val="-1"/>
        </w:rPr>
      </w:pPr>
    </w:p>
    <w:p w14:paraId="63FA2EFA" w14:textId="77777777" w:rsidR="00E76095" w:rsidRPr="00A510DE" w:rsidRDefault="00E76095" w:rsidP="00E76095">
      <w:pPr>
        <w:pStyle w:val="BodyText"/>
        <w:kinsoku w:val="0"/>
        <w:overflowPunct w:val="0"/>
        <w:spacing w:line="273" w:lineRule="auto"/>
        <w:ind w:left="0" w:right="-164"/>
        <w:rPr>
          <w:b/>
          <w:spacing w:val="-1"/>
        </w:rPr>
      </w:pPr>
      <w:r w:rsidRPr="00A510DE">
        <w:rPr>
          <w:b/>
          <w:spacing w:val="-1"/>
        </w:rPr>
        <w:t xml:space="preserve">Annual Statement of Senior Post </w:t>
      </w:r>
      <w:r>
        <w:rPr>
          <w:b/>
          <w:spacing w:val="-1"/>
        </w:rPr>
        <w:t>Holder Remuneration 2020</w:t>
      </w:r>
    </w:p>
    <w:p w14:paraId="0FE90EC1" w14:textId="77777777" w:rsidR="00E76095" w:rsidRDefault="00E76095" w:rsidP="00E76095">
      <w:pPr>
        <w:pStyle w:val="BodyText"/>
        <w:kinsoku w:val="0"/>
        <w:overflowPunct w:val="0"/>
        <w:spacing w:line="273" w:lineRule="auto"/>
        <w:ind w:left="0" w:right="174"/>
        <w:rPr>
          <w:b/>
          <w:spacing w:val="-1"/>
        </w:rPr>
      </w:pPr>
    </w:p>
    <w:p w14:paraId="7AE7C519" w14:textId="77777777" w:rsidR="00E76095" w:rsidRPr="00546E7D" w:rsidRDefault="00E76095" w:rsidP="00E76095">
      <w:pPr>
        <w:pStyle w:val="BodyText"/>
        <w:kinsoku w:val="0"/>
        <w:overflowPunct w:val="0"/>
        <w:spacing w:line="273" w:lineRule="auto"/>
        <w:ind w:left="0" w:right="174"/>
        <w:rPr>
          <w:b/>
          <w:spacing w:val="-1"/>
        </w:rPr>
      </w:pPr>
      <w:r>
        <w:rPr>
          <w:b/>
          <w:spacing w:val="-1"/>
        </w:rPr>
        <w:t>I</w:t>
      </w:r>
      <w:r w:rsidRPr="00A510DE">
        <w:rPr>
          <w:b/>
          <w:spacing w:val="-1"/>
        </w:rPr>
        <w:t xml:space="preserve">ntroduction </w:t>
      </w:r>
    </w:p>
    <w:p w14:paraId="288138C2" w14:textId="77777777" w:rsidR="00E76095" w:rsidRDefault="00E76095" w:rsidP="00E76095">
      <w:pPr>
        <w:pStyle w:val="BodyText"/>
        <w:kinsoku w:val="0"/>
        <w:overflowPunct w:val="0"/>
        <w:spacing w:line="273" w:lineRule="auto"/>
        <w:ind w:left="0" w:right="174"/>
        <w:rPr>
          <w:spacing w:val="-1"/>
        </w:rPr>
      </w:pPr>
      <w:r w:rsidRPr="00A510DE">
        <w:rPr>
          <w:spacing w:val="-1"/>
        </w:rPr>
        <w:t>Barking &amp; Dagenham College</w:t>
      </w:r>
      <w:r>
        <w:rPr>
          <w:spacing w:val="-1"/>
        </w:rPr>
        <w:t xml:space="preserve"> Corporation adopted the AoC Senior Post Holder </w:t>
      </w:r>
    </w:p>
    <w:p w14:paraId="006B3AE1" w14:textId="77777777" w:rsidR="00E76095" w:rsidRDefault="00E76095" w:rsidP="00E76095">
      <w:pPr>
        <w:pStyle w:val="BodyText"/>
        <w:kinsoku w:val="0"/>
        <w:overflowPunct w:val="0"/>
        <w:spacing w:line="273" w:lineRule="auto"/>
        <w:ind w:left="0" w:right="174"/>
        <w:rPr>
          <w:spacing w:val="-1"/>
        </w:rPr>
      </w:pPr>
      <w:r>
        <w:rPr>
          <w:spacing w:val="-1"/>
        </w:rPr>
        <w:t>Remuneration Code (Code) at their meeting in February 2019.</w:t>
      </w:r>
      <w:r w:rsidRPr="004B6B12">
        <w:rPr>
          <w:spacing w:val="-1"/>
          <w:sz w:val="24"/>
        </w:rPr>
        <w:t xml:space="preserve"> </w:t>
      </w:r>
    </w:p>
    <w:p w14:paraId="2CBE7965" w14:textId="77777777" w:rsidR="00E76095" w:rsidRPr="004B6B12" w:rsidRDefault="00E76095" w:rsidP="00E76095">
      <w:pPr>
        <w:kinsoku w:val="0"/>
        <w:overflowPunct w:val="0"/>
        <w:spacing w:before="2" w:line="160" w:lineRule="exact"/>
        <w:rPr>
          <w:rFonts w:cs="Arial"/>
          <w:spacing w:val="-1"/>
          <w:sz w:val="22"/>
          <w:szCs w:val="22"/>
        </w:rPr>
      </w:pPr>
    </w:p>
    <w:p w14:paraId="2243DF40" w14:textId="77777777" w:rsidR="00E76095" w:rsidRDefault="00E76095" w:rsidP="00E76095">
      <w:pPr>
        <w:pStyle w:val="BodyText"/>
        <w:kinsoku w:val="0"/>
        <w:overflowPunct w:val="0"/>
        <w:spacing w:line="276" w:lineRule="auto"/>
        <w:ind w:left="0" w:right="200"/>
        <w:rPr>
          <w:spacing w:val="-1"/>
        </w:rPr>
      </w:pPr>
      <w:r w:rsidRPr="004B6B12">
        <w:rPr>
          <w:spacing w:val="-1"/>
        </w:rPr>
        <w:t xml:space="preserve">The </w:t>
      </w:r>
      <w:r>
        <w:rPr>
          <w:spacing w:val="-1"/>
        </w:rPr>
        <w:t>Code requires College’s</w:t>
      </w:r>
      <w:r w:rsidRPr="004B6B12">
        <w:rPr>
          <w:spacing w:val="-1"/>
        </w:rPr>
        <w:t xml:space="preserve"> </w:t>
      </w:r>
      <w:r>
        <w:rPr>
          <w:spacing w:val="-1"/>
        </w:rPr>
        <w:t>to</w:t>
      </w:r>
      <w:r w:rsidRPr="004B6B12">
        <w:rPr>
          <w:spacing w:val="-1"/>
        </w:rPr>
        <w:t xml:space="preserve"> publish a readily accessible annual statement, based on an annual report to its governing body. The purpose of this report is to meet that requirement. The Corporation has determined that the </w:t>
      </w:r>
      <w:r>
        <w:rPr>
          <w:spacing w:val="-1"/>
        </w:rPr>
        <w:t>statement</w:t>
      </w:r>
      <w:r w:rsidRPr="004B6B12">
        <w:rPr>
          <w:spacing w:val="-1"/>
        </w:rPr>
        <w:t xml:space="preserve"> will be published on the College website for transparency and ease of access.</w:t>
      </w:r>
    </w:p>
    <w:p w14:paraId="20D86B23" w14:textId="77777777" w:rsidR="00E76095" w:rsidRDefault="00E76095" w:rsidP="00E76095">
      <w:pPr>
        <w:pStyle w:val="BodyText"/>
        <w:kinsoku w:val="0"/>
        <w:overflowPunct w:val="0"/>
        <w:spacing w:line="276" w:lineRule="auto"/>
        <w:ind w:left="0" w:right="200"/>
        <w:rPr>
          <w:spacing w:val="-1"/>
        </w:rPr>
      </w:pPr>
    </w:p>
    <w:p w14:paraId="2992E77C" w14:textId="77777777" w:rsidR="00E76095" w:rsidRDefault="00E76095" w:rsidP="00E76095">
      <w:pPr>
        <w:pStyle w:val="BodyText"/>
        <w:kinsoku w:val="0"/>
        <w:overflowPunct w:val="0"/>
        <w:spacing w:line="276" w:lineRule="auto"/>
        <w:ind w:left="0" w:right="200"/>
        <w:rPr>
          <w:spacing w:val="-1"/>
        </w:rPr>
      </w:pPr>
      <w:r>
        <w:rPr>
          <w:spacing w:val="-1"/>
        </w:rPr>
        <w:t>Although the Remuneration Meetings took place in 2020, the data and review of performance was for the period 2019/20.</w:t>
      </w:r>
    </w:p>
    <w:p w14:paraId="03C74001" w14:textId="77777777" w:rsidR="00E76095" w:rsidRDefault="00E76095" w:rsidP="00E76095">
      <w:pPr>
        <w:pStyle w:val="BodyText"/>
        <w:kinsoku w:val="0"/>
        <w:overflowPunct w:val="0"/>
        <w:spacing w:line="276" w:lineRule="auto"/>
        <w:ind w:left="0" w:right="200"/>
        <w:rPr>
          <w:spacing w:val="-1"/>
        </w:rPr>
      </w:pPr>
    </w:p>
    <w:p w14:paraId="0DEF07D2" w14:textId="77777777" w:rsidR="00E76095" w:rsidRDefault="00E76095" w:rsidP="00E76095">
      <w:pPr>
        <w:pStyle w:val="BodyText"/>
        <w:kinsoku w:val="0"/>
        <w:overflowPunct w:val="0"/>
        <w:spacing w:line="276" w:lineRule="auto"/>
        <w:ind w:left="0" w:right="200"/>
        <w:rPr>
          <w:b/>
          <w:spacing w:val="-1"/>
        </w:rPr>
      </w:pPr>
      <w:r w:rsidRPr="004B6B12">
        <w:rPr>
          <w:b/>
          <w:spacing w:val="-1"/>
        </w:rPr>
        <w:t>Remuneration Committee</w:t>
      </w:r>
    </w:p>
    <w:p w14:paraId="260BCDE2" w14:textId="77777777" w:rsidR="00E76095" w:rsidRDefault="00E76095" w:rsidP="00E76095">
      <w:pPr>
        <w:pStyle w:val="BodyText"/>
        <w:kinsoku w:val="0"/>
        <w:overflowPunct w:val="0"/>
        <w:spacing w:line="276" w:lineRule="auto"/>
        <w:ind w:left="0" w:right="200"/>
        <w:rPr>
          <w:spacing w:val="-1"/>
        </w:rPr>
      </w:pPr>
      <w:r>
        <w:rPr>
          <w:spacing w:val="-1"/>
        </w:rPr>
        <w:t xml:space="preserve">The </w:t>
      </w:r>
      <w:r>
        <w:t xml:space="preserve">Remuneration Committee Terms of Reference </w:t>
      </w:r>
      <w:r w:rsidRPr="00F347D9">
        <w:rPr>
          <w:i/>
        </w:rPr>
        <w:t xml:space="preserve">(hyperlink to be included when the Terms of Reference are approved by the Board) </w:t>
      </w:r>
      <w:r>
        <w:rPr>
          <w:spacing w:val="-1"/>
        </w:rPr>
        <w:t>are available to view on the College website.  These were reviewed annually by the Remuneration Committee and were last approved at the meeting held on 16 November 2020 (ratified by the Corporation on 14 December 2020) and fully comply with the Code.</w:t>
      </w:r>
    </w:p>
    <w:p w14:paraId="2DE616FB" w14:textId="77777777" w:rsidR="00E76095" w:rsidRDefault="00E76095" w:rsidP="00E76095">
      <w:pPr>
        <w:pStyle w:val="BodyText"/>
        <w:kinsoku w:val="0"/>
        <w:overflowPunct w:val="0"/>
        <w:spacing w:line="276" w:lineRule="auto"/>
        <w:ind w:left="0" w:right="200"/>
        <w:rPr>
          <w:spacing w:val="-1"/>
        </w:rPr>
      </w:pPr>
    </w:p>
    <w:p w14:paraId="6F0C5C08" w14:textId="77777777" w:rsidR="00E76095" w:rsidRDefault="00E76095" w:rsidP="00E76095">
      <w:pPr>
        <w:pStyle w:val="BodyText"/>
        <w:kinsoku w:val="0"/>
        <w:overflowPunct w:val="0"/>
        <w:spacing w:line="276" w:lineRule="auto"/>
        <w:ind w:left="0" w:right="200"/>
        <w:rPr>
          <w:spacing w:val="-1"/>
        </w:rPr>
      </w:pPr>
      <w:r>
        <w:rPr>
          <w:spacing w:val="-1"/>
        </w:rPr>
        <w:t>The following members of the Board of Corporation served on the Remuneration Committee during 2020:</w:t>
      </w:r>
    </w:p>
    <w:p w14:paraId="483393FB" w14:textId="77777777" w:rsidR="00E76095" w:rsidRDefault="00E76095" w:rsidP="00E76095">
      <w:pPr>
        <w:pStyle w:val="BodyText"/>
        <w:kinsoku w:val="0"/>
        <w:overflowPunct w:val="0"/>
        <w:spacing w:line="276" w:lineRule="auto"/>
        <w:ind w:left="0" w:right="200"/>
        <w:rPr>
          <w:spacing w:val="-1"/>
        </w:rPr>
      </w:pPr>
    </w:p>
    <w:p w14:paraId="7DC0EA28" w14:textId="77777777" w:rsidR="00E76095" w:rsidRDefault="00E76095" w:rsidP="00E76095">
      <w:pPr>
        <w:pStyle w:val="BodyText"/>
        <w:kinsoku w:val="0"/>
        <w:overflowPunct w:val="0"/>
        <w:spacing w:line="276" w:lineRule="auto"/>
        <w:ind w:left="0" w:right="200"/>
        <w:rPr>
          <w:spacing w:val="-1"/>
        </w:rPr>
      </w:pPr>
      <w:r>
        <w:rPr>
          <w:spacing w:val="-1"/>
        </w:rPr>
        <w:t>Chair of the Remuneration Committee:</w:t>
      </w:r>
      <w:r>
        <w:rPr>
          <w:spacing w:val="-1"/>
        </w:rPr>
        <w:tab/>
      </w:r>
      <w:r>
        <w:rPr>
          <w:spacing w:val="-1"/>
        </w:rPr>
        <w:tab/>
        <w:t>Mark Bass</w:t>
      </w:r>
    </w:p>
    <w:p w14:paraId="6CE408E6" w14:textId="77777777" w:rsidR="00E76095" w:rsidRDefault="00E76095" w:rsidP="00E76095">
      <w:pPr>
        <w:pStyle w:val="BodyText"/>
        <w:kinsoku w:val="0"/>
        <w:overflowPunct w:val="0"/>
        <w:spacing w:line="276" w:lineRule="auto"/>
        <w:ind w:left="0" w:right="200"/>
        <w:rPr>
          <w:spacing w:val="-1"/>
        </w:rPr>
      </w:pPr>
      <w:r>
        <w:rPr>
          <w:spacing w:val="-1"/>
        </w:rPr>
        <w:t>Vice-Chair of the Remuneration Committee:</w:t>
      </w:r>
      <w:r>
        <w:rPr>
          <w:spacing w:val="-1"/>
        </w:rPr>
        <w:tab/>
      </w:r>
      <w:r>
        <w:rPr>
          <w:spacing w:val="-1"/>
        </w:rPr>
        <w:tab/>
        <w:t>Andrew Brown</w:t>
      </w:r>
    </w:p>
    <w:p w14:paraId="03364FE0" w14:textId="77777777" w:rsidR="00E76095" w:rsidRDefault="00E76095" w:rsidP="00E76095">
      <w:pPr>
        <w:pStyle w:val="BodyText"/>
        <w:kinsoku w:val="0"/>
        <w:overflowPunct w:val="0"/>
        <w:spacing w:line="276" w:lineRule="auto"/>
        <w:ind w:left="0" w:right="200"/>
        <w:rPr>
          <w:spacing w:val="-1"/>
        </w:rPr>
      </w:pPr>
      <w:r>
        <w:rPr>
          <w:spacing w:val="-1"/>
        </w:rPr>
        <w:t>Members of the Remuneration Committee</w:t>
      </w:r>
      <w:r>
        <w:rPr>
          <w:spacing w:val="-1"/>
        </w:rPr>
        <w:tab/>
      </w:r>
      <w:r>
        <w:rPr>
          <w:spacing w:val="-1"/>
        </w:rPr>
        <w:tab/>
        <w:t>Mark Farrar</w:t>
      </w:r>
    </w:p>
    <w:p w14:paraId="55A302A4" w14:textId="77777777" w:rsidR="00E76095" w:rsidRDefault="00E76095" w:rsidP="00E76095">
      <w:pPr>
        <w:pStyle w:val="BodyText"/>
        <w:kinsoku w:val="0"/>
        <w:overflowPunct w:val="0"/>
        <w:spacing w:line="276" w:lineRule="auto"/>
        <w:ind w:left="0" w:right="200"/>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Evelyn Carpenter </w:t>
      </w:r>
    </w:p>
    <w:p w14:paraId="69A9253F" w14:textId="77777777" w:rsidR="00E76095" w:rsidRDefault="00E76095" w:rsidP="00E76095">
      <w:pPr>
        <w:pStyle w:val="BodyText"/>
        <w:kinsoku w:val="0"/>
        <w:overflowPunct w:val="0"/>
        <w:spacing w:line="276" w:lineRule="auto"/>
        <w:ind w:left="0" w:right="200"/>
        <w:rPr>
          <w:spacing w:val="-1"/>
        </w:rPr>
      </w:pPr>
    </w:p>
    <w:p w14:paraId="1906C04D" w14:textId="77777777" w:rsidR="00E76095" w:rsidRDefault="00E76095" w:rsidP="00E76095">
      <w:pPr>
        <w:pStyle w:val="BodyText"/>
        <w:kinsoku w:val="0"/>
        <w:overflowPunct w:val="0"/>
        <w:spacing w:line="276" w:lineRule="auto"/>
        <w:ind w:left="0" w:right="200"/>
        <w:rPr>
          <w:spacing w:val="-1"/>
        </w:rPr>
      </w:pPr>
      <w:r>
        <w:rPr>
          <w:spacing w:val="-1"/>
        </w:rPr>
        <w:t xml:space="preserve">During 2020, the Remuneration Committee did not employ additional services of any consultants to advise on the remuneration considerations.  </w:t>
      </w:r>
    </w:p>
    <w:p w14:paraId="330BF85B" w14:textId="77777777" w:rsidR="00E76095" w:rsidRDefault="00E76095" w:rsidP="00E76095">
      <w:pPr>
        <w:pStyle w:val="BodyText"/>
        <w:kinsoku w:val="0"/>
        <w:overflowPunct w:val="0"/>
        <w:spacing w:line="276" w:lineRule="auto"/>
        <w:ind w:left="0" w:right="200"/>
        <w:rPr>
          <w:spacing w:val="-1"/>
        </w:rPr>
      </w:pPr>
    </w:p>
    <w:p w14:paraId="6D437F3E" w14:textId="77777777" w:rsidR="00E76095" w:rsidRDefault="00E76095" w:rsidP="00E76095">
      <w:pPr>
        <w:pStyle w:val="BodyText"/>
        <w:kinsoku w:val="0"/>
        <w:overflowPunct w:val="0"/>
        <w:spacing w:line="276" w:lineRule="auto"/>
        <w:ind w:left="0" w:right="200"/>
        <w:rPr>
          <w:spacing w:val="-1"/>
        </w:rPr>
      </w:pPr>
      <w:r>
        <w:rPr>
          <w:spacing w:val="-1"/>
        </w:rPr>
        <w:t>The Remuneration Committee met on the following occasion during 2020:</w:t>
      </w:r>
    </w:p>
    <w:p w14:paraId="5175529A" w14:textId="77777777" w:rsidR="00E76095" w:rsidRDefault="00E76095" w:rsidP="00E76095">
      <w:pPr>
        <w:pStyle w:val="BodyText"/>
        <w:numPr>
          <w:ilvl w:val="0"/>
          <w:numId w:val="3"/>
        </w:numPr>
        <w:kinsoku w:val="0"/>
        <w:overflowPunct w:val="0"/>
        <w:spacing w:line="276" w:lineRule="auto"/>
        <w:ind w:left="567" w:right="200"/>
        <w:rPr>
          <w:spacing w:val="-1"/>
        </w:rPr>
      </w:pPr>
      <w:r>
        <w:rPr>
          <w:spacing w:val="-1"/>
        </w:rPr>
        <w:t>9 March 2020</w:t>
      </w:r>
    </w:p>
    <w:p w14:paraId="1CEEB923" w14:textId="77777777" w:rsidR="00E76095" w:rsidRDefault="00E76095" w:rsidP="00E76095">
      <w:pPr>
        <w:pStyle w:val="BodyText"/>
        <w:numPr>
          <w:ilvl w:val="0"/>
          <w:numId w:val="3"/>
        </w:numPr>
        <w:kinsoku w:val="0"/>
        <w:overflowPunct w:val="0"/>
        <w:spacing w:line="276" w:lineRule="auto"/>
        <w:ind w:left="567" w:right="200"/>
        <w:rPr>
          <w:spacing w:val="-1"/>
        </w:rPr>
      </w:pPr>
      <w:r>
        <w:rPr>
          <w:spacing w:val="-1"/>
        </w:rPr>
        <w:t>16 November 2020</w:t>
      </w:r>
    </w:p>
    <w:p w14:paraId="0D41295E" w14:textId="77777777" w:rsidR="00E76095" w:rsidRDefault="00E76095" w:rsidP="00E76095">
      <w:pPr>
        <w:pStyle w:val="BodyText"/>
        <w:numPr>
          <w:ilvl w:val="0"/>
          <w:numId w:val="3"/>
        </w:numPr>
        <w:kinsoku w:val="0"/>
        <w:overflowPunct w:val="0"/>
        <w:spacing w:line="276" w:lineRule="auto"/>
        <w:ind w:left="567" w:right="200"/>
        <w:rPr>
          <w:spacing w:val="-1"/>
        </w:rPr>
      </w:pPr>
      <w:r>
        <w:rPr>
          <w:spacing w:val="-1"/>
        </w:rPr>
        <w:t>4 December 2020</w:t>
      </w:r>
    </w:p>
    <w:p w14:paraId="17DCB0BA" w14:textId="77777777" w:rsidR="00E76095" w:rsidRDefault="00E76095" w:rsidP="00E76095">
      <w:pPr>
        <w:pStyle w:val="BodyText"/>
        <w:kinsoku w:val="0"/>
        <w:overflowPunct w:val="0"/>
        <w:spacing w:line="276" w:lineRule="auto"/>
        <w:ind w:left="0" w:right="200"/>
        <w:rPr>
          <w:spacing w:val="-1"/>
        </w:rPr>
      </w:pPr>
    </w:p>
    <w:p w14:paraId="08747E2E" w14:textId="77777777" w:rsidR="00E76095" w:rsidRDefault="00E76095" w:rsidP="00E76095">
      <w:pPr>
        <w:pStyle w:val="BodyText"/>
        <w:kinsoku w:val="0"/>
        <w:overflowPunct w:val="0"/>
        <w:spacing w:line="276" w:lineRule="auto"/>
        <w:ind w:left="0" w:right="200"/>
        <w:rPr>
          <w:spacing w:val="-1"/>
        </w:rPr>
      </w:pPr>
      <w:r>
        <w:rPr>
          <w:spacing w:val="-1"/>
        </w:rPr>
        <w:t>Minutes of the Remuneration Committee are classified as confidential and are not available publicly.  At the meetings the Committee discussed:</w:t>
      </w:r>
    </w:p>
    <w:p w14:paraId="78195D6F" w14:textId="77777777" w:rsidR="00E76095" w:rsidRDefault="00E76095" w:rsidP="00E76095">
      <w:pPr>
        <w:pStyle w:val="BodyText"/>
        <w:numPr>
          <w:ilvl w:val="0"/>
          <w:numId w:val="4"/>
        </w:numPr>
        <w:kinsoku w:val="0"/>
        <w:overflowPunct w:val="0"/>
        <w:spacing w:line="276" w:lineRule="auto"/>
        <w:ind w:right="200"/>
        <w:rPr>
          <w:spacing w:val="-1"/>
        </w:rPr>
      </w:pPr>
      <w:r>
        <w:rPr>
          <w:spacing w:val="-1"/>
        </w:rPr>
        <w:t>Review of SPH</w:t>
      </w:r>
    </w:p>
    <w:p w14:paraId="00226A68" w14:textId="77777777" w:rsidR="00E76095" w:rsidRDefault="00E76095" w:rsidP="00E76095">
      <w:pPr>
        <w:pStyle w:val="BodyText"/>
        <w:numPr>
          <w:ilvl w:val="0"/>
          <w:numId w:val="4"/>
        </w:numPr>
        <w:kinsoku w:val="0"/>
        <w:overflowPunct w:val="0"/>
        <w:spacing w:line="276" w:lineRule="auto"/>
        <w:ind w:right="200"/>
        <w:rPr>
          <w:spacing w:val="-1"/>
        </w:rPr>
      </w:pPr>
      <w:r>
        <w:rPr>
          <w:spacing w:val="-1"/>
        </w:rPr>
        <w:t>Review of Title – Clerk to the Corporation</w:t>
      </w:r>
    </w:p>
    <w:p w14:paraId="4358CDA8" w14:textId="77777777" w:rsidR="00E76095" w:rsidRDefault="00E76095" w:rsidP="00E76095">
      <w:pPr>
        <w:pStyle w:val="BodyText"/>
        <w:numPr>
          <w:ilvl w:val="0"/>
          <w:numId w:val="4"/>
        </w:numPr>
        <w:kinsoku w:val="0"/>
        <w:overflowPunct w:val="0"/>
        <w:spacing w:line="276" w:lineRule="auto"/>
        <w:ind w:right="200"/>
        <w:rPr>
          <w:spacing w:val="-1"/>
        </w:rPr>
      </w:pPr>
      <w:r>
        <w:rPr>
          <w:spacing w:val="-1"/>
        </w:rPr>
        <w:t>Recommendations to the Committee</w:t>
      </w:r>
    </w:p>
    <w:p w14:paraId="40D67083"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Appointment of the Chair and Vice Chair</w:t>
      </w:r>
    </w:p>
    <w:p w14:paraId="7DA72894"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lastRenderedPageBreak/>
        <w:t>Remuneration Committee Self-</w:t>
      </w:r>
      <w:proofErr w:type="gramStart"/>
      <w:r>
        <w:rPr>
          <w:spacing w:val="-1"/>
        </w:rPr>
        <w:t>assessment</w:t>
      </w:r>
      <w:proofErr w:type="gramEnd"/>
      <w:r>
        <w:rPr>
          <w:spacing w:val="-1"/>
        </w:rPr>
        <w:t xml:space="preserve"> Feedback</w:t>
      </w:r>
    </w:p>
    <w:p w14:paraId="10CCB18D"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Senior Post Holder Remuneration Code</w:t>
      </w:r>
    </w:p>
    <w:p w14:paraId="17C42466"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Remuneration Committee Terms of Reference</w:t>
      </w:r>
    </w:p>
    <w:p w14:paraId="5AB51D0B"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Median earnings of the College workforce</w:t>
      </w:r>
    </w:p>
    <w:p w14:paraId="71280D7A"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Salaries and probationary periods for Executive Team Members</w:t>
      </w:r>
    </w:p>
    <w:p w14:paraId="289A0366"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The review of the performance and targets of the Principal/CEO</w:t>
      </w:r>
    </w:p>
    <w:p w14:paraId="3781201F"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The review of the performance and targets of the Chief Finance &amp; Enterprise Officer and suggested targets</w:t>
      </w:r>
    </w:p>
    <w:p w14:paraId="6FBA0459"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 xml:space="preserve">The review of the performance and targets of the Chief Governance Officer and the contract and job description for this role </w:t>
      </w:r>
    </w:p>
    <w:p w14:paraId="4E45C849"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Whole College pay award</w:t>
      </w:r>
    </w:p>
    <w:p w14:paraId="66217F65"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Pension summary</w:t>
      </w:r>
    </w:p>
    <w:p w14:paraId="2E212E98"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Succession Planning</w:t>
      </w:r>
    </w:p>
    <w:p w14:paraId="4A053C15" w14:textId="77777777" w:rsidR="00E76095" w:rsidRDefault="00E76095" w:rsidP="00E76095">
      <w:pPr>
        <w:pStyle w:val="BodyText"/>
        <w:kinsoku w:val="0"/>
        <w:overflowPunct w:val="0"/>
        <w:spacing w:line="276" w:lineRule="auto"/>
        <w:ind w:left="0" w:right="200"/>
        <w:rPr>
          <w:spacing w:val="-1"/>
        </w:rPr>
      </w:pPr>
    </w:p>
    <w:p w14:paraId="45DEDAAE" w14:textId="77777777" w:rsidR="00E76095" w:rsidRPr="000573B8" w:rsidRDefault="00E76095" w:rsidP="00E76095">
      <w:pPr>
        <w:pStyle w:val="BodyText"/>
        <w:kinsoku w:val="0"/>
        <w:overflowPunct w:val="0"/>
        <w:spacing w:line="276" w:lineRule="auto"/>
        <w:ind w:left="0" w:right="200"/>
        <w:rPr>
          <w:b/>
          <w:spacing w:val="-1"/>
        </w:rPr>
      </w:pPr>
      <w:r>
        <w:rPr>
          <w:b/>
          <w:spacing w:val="-1"/>
        </w:rPr>
        <w:t>Senior Post Holders</w:t>
      </w:r>
    </w:p>
    <w:p w14:paraId="11781204" w14:textId="77777777" w:rsidR="00E76095" w:rsidRDefault="00E76095" w:rsidP="00E76095">
      <w:pPr>
        <w:pStyle w:val="BodyText"/>
        <w:kinsoku w:val="0"/>
        <w:overflowPunct w:val="0"/>
        <w:spacing w:line="276" w:lineRule="auto"/>
        <w:ind w:left="0" w:right="200"/>
        <w:rPr>
          <w:spacing w:val="-1"/>
        </w:rPr>
      </w:pPr>
      <w:r>
        <w:rPr>
          <w:spacing w:val="-1"/>
        </w:rPr>
        <w:t>The Remuneration Committee has considered the remuneration of the following Senior Post Holders:</w:t>
      </w:r>
    </w:p>
    <w:p w14:paraId="4657DDE6"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Principal/CEO</w:t>
      </w:r>
    </w:p>
    <w:p w14:paraId="33E88E1B"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Chief Finance &amp; Enterprise Officer</w:t>
      </w:r>
    </w:p>
    <w:p w14:paraId="7BA07B92" w14:textId="77777777" w:rsidR="00E76095" w:rsidRDefault="00E76095" w:rsidP="00E76095">
      <w:pPr>
        <w:pStyle w:val="BodyText"/>
        <w:numPr>
          <w:ilvl w:val="0"/>
          <w:numId w:val="1"/>
        </w:numPr>
        <w:kinsoku w:val="0"/>
        <w:overflowPunct w:val="0"/>
        <w:spacing w:line="276" w:lineRule="auto"/>
        <w:ind w:left="709" w:right="200"/>
        <w:rPr>
          <w:spacing w:val="-1"/>
        </w:rPr>
      </w:pPr>
      <w:r>
        <w:rPr>
          <w:spacing w:val="-1"/>
        </w:rPr>
        <w:t>Chief Governance Officer</w:t>
      </w:r>
    </w:p>
    <w:p w14:paraId="56B1811B" w14:textId="77777777" w:rsidR="00E76095" w:rsidRDefault="00E76095" w:rsidP="00E76095">
      <w:pPr>
        <w:pStyle w:val="BodyText"/>
        <w:kinsoku w:val="0"/>
        <w:overflowPunct w:val="0"/>
        <w:spacing w:line="276" w:lineRule="auto"/>
        <w:ind w:left="0" w:right="200"/>
        <w:rPr>
          <w:spacing w:val="-1"/>
        </w:rPr>
      </w:pPr>
    </w:p>
    <w:p w14:paraId="72B2C664" w14:textId="77777777" w:rsidR="00E76095" w:rsidRPr="006A116D" w:rsidRDefault="00E76095" w:rsidP="00E76095">
      <w:pPr>
        <w:pStyle w:val="BodyText"/>
        <w:kinsoku w:val="0"/>
        <w:overflowPunct w:val="0"/>
        <w:spacing w:line="276" w:lineRule="auto"/>
        <w:ind w:left="0" w:right="200"/>
        <w:rPr>
          <w:b/>
          <w:spacing w:val="-1"/>
        </w:rPr>
      </w:pPr>
      <w:r w:rsidRPr="006A116D">
        <w:rPr>
          <w:b/>
          <w:spacing w:val="-1"/>
        </w:rPr>
        <w:t xml:space="preserve">Remuneration Procedure </w:t>
      </w:r>
    </w:p>
    <w:p w14:paraId="4F71E582" w14:textId="5C56B419" w:rsidR="00E76095" w:rsidRDefault="00E76095" w:rsidP="00E76095">
      <w:pPr>
        <w:pStyle w:val="BodyText"/>
        <w:kinsoku w:val="0"/>
        <w:overflowPunct w:val="0"/>
        <w:spacing w:line="276" w:lineRule="auto"/>
        <w:ind w:left="0" w:right="200"/>
        <w:rPr>
          <w:spacing w:val="-1"/>
        </w:rPr>
      </w:pPr>
      <w:r>
        <w:rPr>
          <w:spacing w:val="-1"/>
        </w:rPr>
        <w:t xml:space="preserve">Remuneration deliberations are made in the context of the </w:t>
      </w:r>
      <w:hyperlink r:id="rId11" w:history="1">
        <w:r w:rsidRPr="00DD3A8A">
          <w:rPr>
            <w:rStyle w:val="Hyperlink"/>
            <w:spacing w:val="-1"/>
          </w:rPr>
          <w:t>Procedure for Determining the Remuneration of the Senior Postholders and Clerk to the Corporation 2019.doc</w:t>
        </w:r>
      </w:hyperlink>
      <w:r>
        <w:rPr>
          <w:spacing w:val="-1"/>
        </w:rPr>
        <w:t>approved by the Remuneration Committee on 7 October 2019.</w:t>
      </w:r>
      <w:r w:rsidRPr="001B752C">
        <w:rPr>
          <w:spacing w:val="-1"/>
        </w:rPr>
        <w:t xml:space="preserve"> </w:t>
      </w:r>
      <w:r>
        <w:rPr>
          <w:spacing w:val="-1"/>
        </w:rPr>
        <w:t>Factors considered included:</w:t>
      </w:r>
    </w:p>
    <w:p w14:paraId="5F7E9DBE" w14:textId="77777777" w:rsidR="00E76095" w:rsidRDefault="00E76095" w:rsidP="00E76095">
      <w:pPr>
        <w:pStyle w:val="BodyText"/>
        <w:numPr>
          <w:ilvl w:val="0"/>
          <w:numId w:val="2"/>
        </w:numPr>
        <w:kinsoku w:val="0"/>
        <w:overflowPunct w:val="0"/>
        <w:spacing w:line="276" w:lineRule="auto"/>
        <w:ind w:left="567" w:right="200"/>
        <w:rPr>
          <w:spacing w:val="-1"/>
        </w:rPr>
      </w:pPr>
      <w:r>
        <w:rPr>
          <w:spacing w:val="-1"/>
        </w:rPr>
        <w:t>The median earnings of the College workforce</w:t>
      </w:r>
    </w:p>
    <w:p w14:paraId="177662FC" w14:textId="77777777" w:rsidR="00E76095" w:rsidRDefault="00E76095" w:rsidP="00E76095">
      <w:pPr>
        <w:pStyle w:val="BodyText"/>
        <w:numPr>
          <w:ilvl w:val="0"/>
          <w:numId w:val="2"/>
        </w:numPr>
        <w:kinsoku w:val="0"/>
        <w:overflowPunct w:val="0"/>
        <w:spacing w:line="276" w:lineRule="auto"/>
        <w:ind w:left="567" w:right="200"/>
        <w:rPr>
          <w:spacing w:val="-1"/>
        </w:rPr>
      </w:pPr>
      <w:r>
        <w:rPr>
          <w:spacing w:val="-1"/>
        </w:rPr>
        <w:t>The ratio between the current salary of the Principal/CEO and the median workforce salary</w:t>
      </w:r>
    </w:p>
    <w:p w14:paraId="33C012AC" w14:textId="77777777" w:rsidR="00E76095" w:rsidRDefault="00E76095" w:rsidP="00E76095">
      <w:pPr>
        <w:pStyle w:val="BodyText"/>
        <w:numPr>
          <w:ilvl w:val="0"/>
          <w:numId w:val="2"/>
        </w:numPr>
        <w:kinsoku w:val="0"/>
        <w:overflowPunct w:val="0"/>
        <w:spacing w:line="276" w:lineRule="auto"/>
        <w:ind w:left="567" w:right="200"/>
        <w:rPr>
          <w:spacing w:val="-1"/>
        </w:rPr>
      </w:pPr>
      <w:r>
        <w:rPr>
          <w:spacing w:val="-1"/>
        </w:rPr>
        <w:t>Maintaining competitive salaries, consistency, transparency and fairness</w:t>
      </w:r>
    </w:p>
    <w:p w14:paraId="6A992201" w14:textId="77777777" w:rsidR="00E76095" w:rsidRDefault="00E76095" w:rsidP="00E76095">
      <w:pPr>
        <w:pStyle w:val="BodyText"/>
        <w:numPr>
          <w:ilvl w:val="0"/>
          <w:numId w:val="2"/>
        </w:numPr>
        <w:kinsoku w:val="0"/>
        <w:overflowPunct w:val="0"/>
        <w:spacing w:line="276" w:lineRule="auto"/>
        <w:ind w:left="567" w:right="200"/>
        <w:rPr>
          <w:spacing w:val="-1"/>
        </w:rPr>
      </w:pPr>
      <w:r>
        <w:rPr>
          <w:spacing w:val="-1"/>
        </w:rPr>
        <w:t>The performance of the College and targets achieved by the Senior Post Holders</w:t>
      </w:r>
    </w:p>
    <w:p w14:paraId="0FBA722F" w14:textId="77777777" w:rsidR="00E76095" w:rsidRDefault="00E76095" w:rsidP="00E76095">
      <w:pPr>
        <w:pStyle w:val="BodyText"/>
        <w:numPr>
          <w:ilvl w:val="0"/>
          <w:numId w:val="2"/>
        </w:numPr>
        <w:kinsoku w:val="0"/>
        <w:overflowPunct w:val="0"/>
        <w:spacing w:line="276" w:lineRule="auto"/>
        <w:ind w:left="567" w:right="200"/>
        <w:rPr>
          <w:spacing w:val="-1"/>
        </w:rPr>
      </w:pPr>
      <w:r>
        <w:rPr>
          <w:spacing w:val="-1"/>
        </w:rPr>
        <w:t>Level of awards made since the Senior Post Holder commenced employment with the College</w:t>
      </w:r>
    </w:p>
    <w:p w14:paraId="7EBB252D" w14:textId="77777777" w:rsidR="00E76095" w:rsidRDefault="00E76095" w:rsidP="00E76095">
      <w:pPr>
        <w:pStyle w:val="BodyText"/>
        <w:numPr>
          <w:ilvl w:val="0"/>
          <w:numId w:val="2"/>
        </w:numPr>
        <w:kinsoku w:val="0"/>
        <w:overflowPunct w:val="0"/>
        <w:spacing w:line="276" w:lineRule="auto"/>
        <w:ind w:left="567" w:right="200"/>
        <w:rPr>
          <w:spacing w:val="-1"/>
        </w:rPr>
      </w:pPr>
      <w:r>
        <w:rPr>
          <w:spacing w:val="-1"/>
        </w:rPr>
        <w:t>Current/future financial position of the College</w:t>
      </w:r>
    </w:p>
    <w:p w14:paraId="6C8E20B6" w14:textId="77777777" w:rsidR="00E76095" w:rsidRDefault="00E76095" w:rsidP="00E76095">
      <w:pPr>
        <w:pStyle w:val="BodyText"/>
        <w:numPr>
          <w:ilvl w:val="0"/>
          <w:numId w:val="2"/>
        </w:numPr>
        <w:kinsoku w:val="0"/>
        <w:overflowPunct w:val="0"/>
        <w:spacing w:line="276" w:lineRule="auto"/>
        <w:ind w:left="567" w:right="200"/>
        <w:rPr>
          <w:spacing w:val="-1"/>
        </w:rPr>
      </w:pPr>
      <w:r>
        <w:rPr>
          <w:spacing w:val="-1"/>
        </w:rPr>
        <w:t>The annual pay award offered to the rest of the College staff</w:t>
      </w:r>
    </w:p>
    <w:p w14:paraId="2389DF94" w14:textId="77777777" w:rsidR="00E76095" w:rsidRDefault="00E76095" w:rsidP="00E76095">
      <w:pPr>
        <w:pStyle w:val="BodyText"/>
        <w:kinsoku w:val="0"/>
        <w:overflowPunct w:val="0"/>
        <w:spacing w:line="276" w:lineRule="auto"/>
        <w:ind w:left="0" w:right="200"/>
        <w:rPr>
          <w:spacing w:val="-1"/>
        </w:rPr>
      </w:pPr>
    </w:p>
    <w:p w14:paraId="7B52F52C" w14:textId="77777777" w:rsidR="00E76095" w:rsidRDefault="00E76095" w:rsidP="00E76095">
      <w:pPr>
        <w:pStyle w:val="BodyText"/>
        <w:kinsoku w:val="0"/>
        <w:overflowPunct w:val="0"/>
        <w:spacing w:line="276" w:lineRule="auto"/>
        <w:ind w:left="0" w:right="200"/>
        <w:rPr>
          <w:b/>
          <w:spacing w:val="-1"/>
        </w:rPr>
      </w:pPr>
      <w:r>
        <w:rPr>
          <w:b/>
          <w:spacing w:val="-1"/>
        </w:rPr>
        <w:t>Choice of comparator college(s)/organisation(s)</w:t>
      </w:r>
    </w:p>
    <w:p w14:paraId="389492F8" w14:textId="77777777" w:rsidR="00E76095" w:rsidRDefault="00E76095" w:rsidP="00E76095">
      <w:pPr>
        <w:pStyle w:val="BodyText"/>
        <w:kinsoku w:val="0"/>
        <w:overflowPunct w:val="0"/>
        <w:spacing w:line="276" w:lineRule="auto"/>
        <w:ind w:left="0" w:right="200"/>
        <w:rPr>
          <w:spacing w:val="-1"/>
        </w:rPr>
      </w:pPr>
      <w:r>
        <w:rPr>
          <w:spacing w:val="-1"/>
        </w:rPr>
        <w:t xml:space="preserve">To retain staff, the Remuneration Committee consider the market position of Senior Post Holder roles, reviewing this against comparator institutions. The Committee had regard to the latest benchmark data, where available, for relevant roles published in the AoC Senior Pay Survey.  The Committee considered salary data for all colleges, colleges in the South East and colleges in London with a turnover of £30m-£40m.  This is consistent with the College’s forecast budget turnover.  </w:t>
      </w:r>
    </w:p>
    <w:p w14:paraId="36D702D8" w14:textId="77777777" w:rsidR="00E76095" w:rsidRDefault="00E76095" w:rsidP="00E76095">
      <w:pPr>
        <w:pStyle w:val="BodyText"/>
        <w:kinsoku w:val="0"/>
        <w:overflowPunct w:val="0"/>
        <w:spacing w:line="276" w:lineRule="auto"/>
        <w:ind w:left="0" w:right="200"/>
        <w:rPr>
          <w:spacing w:val="-1"/>
        </w:rPr>
      </w:pPr>
    </w:p>
    <w:p w14:paraId="7194EEA2" w14:textId="77777777" w:rsidR="00E76095" w:rsidRDefault="00E76095" w:rsidP="00E76095">
      <w:pPr>
        <w:pStyle w:val="BodyText"/>
        <w:kinsoku w:val="0"/>
        <w:overflowPunct w:val="0"/>
        <w:spacing w:line="276" w:lineRule="auto"/>
        <w:ind w:left="0" w:right="200"/>
        <w:rPr>
          <w:spacing w:val="-1"/>
        </w:rPr>
      </w:pPr>
      <w:r w:rsidRPr="008F2C2D">
        <w:rPr>
          <w:b/>
          <w:spacing w:val="-1"/>
        </w:rPr>
        <w:t>Policy on income derived from external activities</w:t>
      </w:r>
      <w:r>
        <w:rPr>
          <w:b/>
          <w:spacing w:val="-1"/>
        </w:rPr>
        <w:t xml:space="preserve"> </w:t>
      </w:r>
      <w:r>
        <w:rPr>
          <w:spacing w:val="-1"/>
        </w:rPr>
        <w:t>is included in the Procedure for Determining the Remuneration of the Senior Post Holders and Clerk to the Corporation.</w:t>
      </w:r>
    </w:p>
    <w:p w14:paraId="7993B8B4" w14:textId="77777777" w:rsidR="00E76095" w:rsidRDefault="00E76095" w:rsidP="00E76095">
      <w:pPr>
        <w:pStyle w:val="BodyText"/>
        <w:kinsoku w:val="0"/>
        <w:overflowPunct w:val="0"/>
        <w:spacing w:line="276" w:lineRule="auto"/>
        <w:ind w:left="0" w:right="200"/>
        <w:rPr>
          <w:spacing w:val="-1"/>
        </w:rPr>
      </w:pPr>
    </w:p>
    <w:p w14:paraId="3321DB56" w14:textId="77777777" w:rsidR="00E76095" w:rsidRPr="00E70231" w:rsidRDefault="00E76095" w:rsidP="00E76095">
      <w:pPr>
        <w:pStyle w:val="BodyText"/>
        <w:kinsoku w:val="0"/>
        <w:overflowPunct w:val="0"/>
        <w:spacing w:line="276" w:lineRule="auto"/>
        <w:ind w:left="0" w:right="200"/>
        <w:rPr>
          <w:b/>
          <w:spacing w:val="-1"/>
        </w:rPr>
      </w:pPr>
      <w:r w:rsidRPr="008F2C2D">
        <w:rPr>
          <w:b/>
          <w:spacing w:val="-1"/>
        </w:rPr>
        <w:t xml:space="preserve">Pay Multiple of the Principal/CEO and the median earnings of the institution’s whole </w:t>
      </w:r>
      <w:r w:rsidRPr="008F2C2D">
        <w:rPr>
          <w:b/>
          <w:spacing w:val="-1"/>
        </w:rPr>
        <w:lastRenderedPageBreak/>
        <w:t>workforce</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242"/>
        <w:gridCol w:w="3438"/>
      </w:tblGrid>
      <w:tr w:rsidR="00E76095" w14:paraId="1A3E41F7" w14:textId="77777777" w:rsidTr="5803BFBC">
        <w:tc>
          <w:tcPr>
            <w:tcW w:w="2378" w:type="dxa"/>
            <w:shd w:val="clear" w:color="auto" w:fill="auto"/>
          </w:tcPr>
          <w:p w14:paraId="34E83527" w14:textId="77777777" w:rsidR="00E76095" w:rsidRPr="001011EA" w:rsidRDefault="00E76095" w:rsidP="00320731">
            <w:pPr>
              <w:pStyle w:val="BodyText"/>
              <w:kinsoku w:val="0"/>
              <w:overflowPunct w:val="0"/>
              <w:spacing w:line="276" w:lineRule="auto"/>
              <w:ind w:left="0" w:right="200"/>
              <w:rPr>
                <w:b/>
                <w:spacing w:val="-1"/>
              </w:rPr>
            </w:pPr>
            <w:r w:rsidRPr="001011EA">
              <w:rPr>
                <w:b/>
                <w:spacing w:val="-1"/>
              </w:rPr>
              <w:t>Year</w:t>
            </w:r>
          </w:p>
        </w:tc>
        <w:tc>
          <w:tcPr>
            <w:tcW w:w="3260" w:type="dxa"/>
            <w:shd w:val="clear" w:color="auto" w:fill="auto"/>
          </w:tcPr>
          <w:p w14:paraId="4B4BFAE0" w14:textId="77777777" w:rsidR="00E76095" w:rsidRPr="001011EA" w:rsidRDefault="00E76095" w:rsidP="00320731">
            <w:pPr>
              <w:pStyle w:val="BodyText"/>
              <w:kinsoku w:val="0"/>
              <w:overflowPunct w:val="0"/>
              <w:spacing w:line="276" w:lineRule="auto"/>
              <w:ind w:left="0" w:right="200"/>
              <w:rPr>
                <w:b/>
                <w:spacing w:val="-1"/>
              </w:rPr>
            </w:pPr>
            <w:r w:rsidRPr="001011EA">
              <w:rPr>
                <w:b/>
                <w:spacing w:val="-1"/>
              </w:rPr>
              <w:t>Pay multiple of the Principal/CEO</w:t>
            </w:r>
          </w:p>
        </w:tc>
        <w:tc>
          <w:tcPr>
            <w:tcW w:w="3464" w:type="dxa"/>
            <w:shd w:val="clear" w:color="auto" w:fill="auto"/>
          </w:tcPr>
          <w:p w14:paraId="3CE437D2" w14:textId="77777777" w:rsidR="00E76095" w:rsidRPr="001011EA" w:rsidRDefault="00E76095" w:rsidP="00320731">
            <w:pPr>
              <w:pStyle w:val="BodyText"/>
              <w:kinsoku w:val="0"/>
              <w:overflowPunct w:val="0"/>
              <w:spacing w:line="276" w:lineRule="auto"/>
              <w:ind w:left="0" w:right="200"/>
              <w:rPr>
                <w:b/>
                <w:spacing w:val="-1"/>
              </w:rPr>
            </w:pPr>
            <w:r w:rsidRPr="001011EA">
              <w:rPr>
                <w:b/>
                <w:spacing w:val="-1"/>
              </w:rPr>
              <w:t>Median earnings of the College workforce</w:t>
            </w:r>
          </w:p>
        </w:tc>
      </w:tr>
      <w:tr w:rsidR="00E76095" w14:paraId="0F3C33BD" w14:textId="77777777" w:rsidTr="5803BFBC">
        <w:tc>
          <w:tcPr>
            <w:tcW w:w="2378" w:type="dxa"/>
            <w:shd w:val="clear" w:color="auto" w:fill="auto"/>
          </w:tcPr>
          <w:p w14:paraId="61756FEE" w14:textId="77777777" w:rsidR="00E76095" w:rsidRPr="001011EA" w:rsidRDefault="00E76095" w:rsidP="00320731">
            <w:pPr>
              <w:pStyle w:val="BodyText"/>
              <w:kinsoku w:val="0"/>
              <w:overflowPunct w:val="0"/>
              <w:spacing w:line="276" w:lineRule="auto"/>
              <w:ind w:left="0" w:right="200"/>
              <w:rPr>
                <w:spacing w:val="-1"/>
              </w:rPr>
            </w:pPr>
            <w:r w:rsidRPr="001011EA">
              <w:rPr>
                <w:spacing w:val="-1"/>
              </w:rPr>
              <w:t>2016/17</w:t>
            </w:r>
          </w:p>
        </w:tc>
        <w:tc>
          <w:tcPr>
            <w:tcW w:w="3260" w:type="dxa"/>
            <w:shd w:val="clear" w:color="auto" w:fill="auto"/>
          </w:tcPr>
          <w:p w14:paraId="7153D713" w14:textId="77777777" w:rsidR="00E76095" w:rsidRPr="001011EA" w:rsidRDefault="00E76095" w:rsidP="00320731">
            <w:pPr>
              <w:pStyle w:val="BodyText"/>
              <w:kinsoku w:val="0"/>
              <w:overflowPunct w:val="0"/>
              <w:spacing w:line="276" w:lineRule="auto"/>
              <w:ind w:left="0" w:right="200"/>
              <w:rPr>
                <w:spacing w:val="-1"/>
              </w:rPr>
            </w:pPr>
            <w:r w:rsidRPr="001011EA">
              <w:rPr>
                <w:spacing w:val="-1"/>
              </w:rPr>
              <w:t>4.3</w:t>
            </w:r>
          </w:p>
        </w:tc>
        <w:tc>
          <w:tcPr>
            <w:tcW w:w="3464" w:type="dxa"/>
            <w:shd w:val="clear" w:color="auto" w:fill="auto"/>
          </w:tcPr>
          <w:p w14:paraId="386ED709" w14:textId="77777777" w:rsidR="00E76095" w:rsidRPr="001011EA" w:rsidRDefault="00E76095" w:rsidP="5803BFBC">
            <w:pPr>
              <w:pStyle w:val="BodyText"/>
              <w:spacing w:line="276" w:lineRule="auto"/>
              <w:ind w:left="0" w:right="200"/>
            </w:pPr>
            <w:r w:rsidRPr="001011EA">
              <w:t>£30,000</w:t>
            </w:r>
          </w:p>
        </w:tc>
      </w:tr>
      <w:tr w:rsidR="00E76095" w14:paraId="285535AC" w14:textId="77777777" w:rsidTr="5803BFBC">
        <w:tc>
          <w:tcPr>
            <w:tcW w:w="2378" w:type="dxa"/>
            <w:shd w:val="clear" w:color="auto" w:fill="auto"/>
          </w:tcPr>
          <w:p w14:paraId="1399875F" w14:textId="77777777" w:rsidR="00E76095" w:rsidRPr="001011EA" w:rsidRDefault="00E76095" w:rsidP="00320731">
            <w:pPr>
              <w:pStyle w:val="BodyText"/>
              <w:kinsoku w:val="0"/>
              <w:overflowPunct w:val="0"/>
              <w:spacing w:line="276" w:lineRule="auto"/>
              <w:ind w:left="0" w:right="200"/>
              <w:rPr>
                <w:spacing w:val="-1"/>
              </w:rPr>
            </w:pPr>
            <w:r w:rsidRPr="001011EA">
              <w:rPr>
                <w:spacing w:val="-1"/>
              </w:rPr>
              <w:t>2017/18</w:t>
            </w:r>
          </w:p>
        </w:tc>
        <w:tc>
          <w:tcPr>
            <w:tcW w:w="3260" w:type="dxa"/>
            <w:shd w:val="clear" w:color="auto" w:fill="auto"/>
          </w:tcPr>
          <w:p w14:paraId="03EAF359" w14:textId="77777777" w:rsidR="00E76095" w:rsidRPr="001011EA" w:rsidRDefault="00E76095" w:rsidP="00320731">
            <w:pPr>
              <w:pStyle w:val="BodyText"/>
              <w:kinsoku w:val="0"/>
              <w:overflowPunct w:val="0"/>
              <w:spacing w:line="276" w:lineRule="auto"/>
              <w:ind w:left="0" w:right="200"/>
              <w:rPr>
                <w:spacing w:val="-1"/>
              </w:rPr>
            </w:pPr>
            <w:r w:rsidRPr="001011EA">
              <w:rPr>
                <w:spacing w:val="-1"/>
              </w:rPr>
              <w:t>5.1</w:t>
            </w:r>
          </w:p>
        </w:tc>
        <w:tc>
          <w:tcPr>
            <w:tcW w:w="3464" w:type="dxa"/>
            <w:shd w:val="clear" w:color="auto" w:fill="auto"/>
          </w:tcPr>
          <w:p w14:paraId="67865AC5" w14:textId="77777777" w:rsidR="00E76095" w:rsidRPr="001011EA" w:rsidRDefault="00E76095" w:rsidP="5803BFBC">
            <w:pPr>
              <w:pStyle w:val="BodyText"/>
              <w:spacing w:line="276" w:lineRule="auto"/>
              <w:ind w:left="0" w:right="200"/>
            </w:pPr>
            <w:r w:rsidRPr="001011EA">
              <w:t xml:space="preserve">£29,500 </w:t>
            </w:r>
          </w:p>
        </w:tc>
      </w:tr>
      <w:tr w:rsidR="00E76095" w14:paraId="70DF8B32" w14:textId="77777777" w:rsidTr="5803BFBC">
        <w:tc>
          <w:tcPr>
            <w:tcW w:w="2378" w:type="dxa"/>
            <w:shd w:val="clear" w:color="auto" w:fill="auto"/>
          </w:tcPr>
          <w:p w14:paraId="67F8D5DB" w14:textId="77777777" w:rsidR="00E76095" w:rsidRPr="001011EA" w:rsidRDefault="00E76095" w:rsidP="00320731">
            <w:pPr>
              <w:pStyle w:val="BodyText"/>
              <w:kinsoku w:val="0"/>
              <w:overflowPunct w:val="0"/>
              <w:spacing w:line="276" w:lineRule="auto"/>
              <w:ind w:left="0" w:right="200"/>
              <w:rPr>
                <w:spacing w:val="-1"/>
              </w:rPr>
            </w:pPr>
            <w:r w:rsidRPr="001011EA">
              <w:rPr>
                <w:spacing w:val="-1"/>
              </w:rPr>
              <w:t>2018/19</w:t>
            </w:r>
          </w:p>
        </w:tc>
        <w:tc>
          <w:tcPr>
            <w:tcW w:w="3260" w:type="dxa"/>
            <w:shd w:val="clear" w:color="auto" w:fill="auto"/>
          </w:tcPr>
          <w:p w14:paraId="5031329C" w14:textId="77777777" w:rsidR="00E76095" w:rsidRPr="001011EA" w:rsidRDefault="00E76095" w:rsidP="00320731">
            <w:pPr>
              <w:pStyle w:val="BodyText"/>
              <w:kinsoku w:val="0"/>
              <w:overflowPunct w:val="0"/>
              <w:spacing w:line="276" w:lineRule="auto"/>
              <w:ind w:left="0" w:right="200"/>
              <w:rPr>
                <w:spacing w:val="-1"/>
              </w:rPr>
            </w:pPr>
            <w:r w:rsidRPr="001011EA">
              <w:rPr>
                <w:spacing w:val="-1"/>
              </w:rPr>
              <w:t>4.9</w:t>
            </w:r>
          </w:p>
        </w:tc>
        <w:tc>
          <w:tcPr>
            <w:tcW w:w="3464" w:type="dxa"/>
            <w:shd w:val="clear" w:color="auto" w:fill="auto"/>
          </w:tcPr>
          <w:p w14:paraId="0A6F74C6" w14:textId="77777777" w:rsidR="00E76095" w:rsidRPr="001011EA" w:rsidRDefault="00E76095" w:rsidP="5803BFBC">
            <w:pPr>
              <w:pStyle w:val="BodyText"/>
              <w:spacing w:line="276" w:lineRule="auto"/>
              <w:ind w:left="0" w:right="200"/>
            </w:pPr>
            <w:r w:rsidRPr="001011EA">
              <w:t>£31,000</w:t>
            </w:r>
          </w:p>
        </w:tc>
      </w:tr>
      <w:tr w:rsidR="00E76095" w14:paraId="2391C0C3" w14:textId="77777777" w:rsidTr="5803BFBC">
        <w:tc>
          <w:tcPr>
            <w:tcW w:w="2378" w:type="dxa"/>
            <w:shd w:val="clear" w:color="auto" w:fill="auto"/>
          </w:tcPr>
          <w:p w14:paraId="4AEBF101" w14:textId="77777777" w:rsidR="00E76095" w:rsidRPr="001011EA" w:rsidRDefault="00E76095" w:rsidP="00320731">
            <w:pPr>
              <w:pStyle w:val="BodyText"/>
              <w:kinsoku w:val="0"/>
              <w:overflowPunct w:val="0"/>
              <w:spacing w:line="276" w:lineRule="auto"/>
              <w:ind w:left="0" w:right="200"/>
              <w:rPr>
                <w:spacing w:val="-1"/>
              </w:rPr>
            </w:pPr>
            <w:r>
              <w:rPr>
                <w:spacing w:val="-1"/>
              </w:rPr>
              <w:t>2019/20</w:t>
            </w:r>
          </w:p>
        </w:tc>
        <w:tc>
          <w:tcPr>
            <w:tcW w:w="3260" w:type="dxa"/>
            <w:shd w:val="clear" w:color="auto" w:fill="auto"/>
          </w:tcPr>
          <w:p w14:paraId="5889864F" w14:textId="77777777" w:rsidR="00E76095" w:rsidRPr="001011EA" w:rsidRDefault="00E76095" w:rsidP="00320731">
            <w:pPr>
              <w:pStyle w:val="BodyText"/>
              <w:kinsoku w:val="0"/>
              <w:overflowPunct w:val="0"/>
              <w:spacing w:line="276" w:lineRule="auto"/>
              <w:ind w:left="0" w:right="200"/>
              <w:rPr>
                <w:spacing w:val="-1"/>
              </w:rPr>
            </w:pPr>
            <w:r>
              <w:rPr>
                <w:spacing w:val="-1"/>
              </w:rPr>
              <w:t>5.1</w:t>
            </w:r>
          </w:p>
        </w:tc>
        <w:tc>
          <w:tcPr>
            <w:tcW w:w="3464" w:type="dxa"/>
            <w:shd w:val="clear" w:color="auto" w:fill="auto"/>
          </w:tcPr>
          <w:p w14:paraId="2EF26176" w14:textId="77777777" w:rsidR="00E76095" w:rsidRPr="001011EA" w:rsidRDefault="00E76095" w:rsidP="5803BFBC">
            <w:pPr>
              <w:pStyle w:val="BodyText"/>
              <w:spacing w:line="276" w:lineRule="auto"/>
              <w:ind w:left="0" w:right="200"/>
            </w:pPr>
            <w:r>
              <w:t>£30,123</w:t>
            </w:r>
          </w:p>
        </w:tc>
      </w:tr>
    </w:tbl>
    <w:p w14:paraId="299CCAF7" w14:textId="77777777" w:rsidR="00E76095" w:rsidRDefault="00E76095" w:rsidP="00E76095">
      <w:pPr>
        <w:pStyle w:val="BodyText"/>
        <w:kinsoku w:val="0"/>
        <w:overflowPunct w:val="0"/>
        <w:spacing w:line="276" w:lineRule="auto"/>
        <w:ind w:left="0" w:right="200"/>
        <w:rPr>
          <w:spacing w:val="-1"/>
        </w:rPr>
      </w:pPr>
    </w:p>
    <w:p w14:paraId="7F231C33" w14:textId="77777777" w:rsidR="00E76095" w:rsidRPr="00546E7D" w:rsidRDefault="00E76095" w:rsidP="00E76095">
      <w:pPr>
        <w:pStyle w:val="BodyText"/>
        <w:kinsoku w:val="0"/>
        <w:overflowPunct w:val="0"/>
        <w:spacing w:line="276" w:lineRule="auto"/>
        <w:ind w:left="0" w:right="200"/>
        <w:rPr>
          <w:spacing w:val="-1"/>
        </w:rPr>
      </w:pPr>
      <w:r>
        <w:rPr>
          <w:spacing w:val="-1"/>
        </w:rPr>
        <w:t>The emoluments of the Principal/CEO are included in the Financial Statements 2019/20</w:t>
      </w:r>
    </w:p>
    <w:p w14:paraId="00FDD2C2" w14:textId="77777777" w:rsidR="00E76095" w:rsidRDefault="00E76095" w:rsidP="00E76095">
      <w:pPr>
        <w:jc w:val="center"/>
      </w:pPr>
    </w:p>
    <w:p w14:paraId="248B0444" w14:textId="77777777" w:rsidR="00EC4A0A" w:rsidRDefault="00EC4A0A"/>
    <w:sectPr w:rsidR="00EC4A0A" w:rsidSect="00310877">
      <w:headerReference w:type="default" r:id="rId12"/>
      <w:footerReference w:type="default" r:id="rId13"/>
      <w:pgSz w:w="11900" w:h="16840"/>
      <w:pgMar w:top="1440" w:right="126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7523" w14:textId="77777777" w:rsidR="00000000" w:rsidRDefault="005710C1">
      <w:r>
        <w:separator/>
      </w:r>
    </w:p>
  </w:endnote>
  <w:endnote w:type="continuationSeparator" w:id="0">
    <w:p w14:paraId="2B225CAD" w14:textId="77777777" w:rsidR="00000000" w:rsidRDefault="0057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271E" w14:textId="77777777" w:rsidR="00AF5F54" w:rsidRDefault="00E76095">
    <w:pPr>
      <w:pStyle w:val="Foote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6FAC" w14:textId="77777777" w:rsidR="00000000" w:rsidRDefault="005710C1">
      <w:r>
        <w:separator/>
      </w:r>
    </w:p>
  </w:footnote>
  <w:footnote w:type="continuationSeparator" w:id="0">
    <w:p w14:paraId="394DCC26" w14:textId="77777777" w:rsidR="00000000" w:rsidRDefault="0057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E1A7" w14:textId="77777777" w:rsidR="00AF5F54" w:rsidRDefault="005710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0489"/>
    <w:multiLevelType w:val="hybridMultilevel"/>
    <w:tmpl w:val="5606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B19C4"/>
    <w:multiLevelType w:val="hybridMultilevel"/>
    <w:tmpl w:val="4DC4BE28"/>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15:restartNumberingAfterBreak="0">
    <w:nsid w:val="39D900F2"/>
    <w:multiLevelType w:val="hybridMultilevel"/>
    <w:tmpl w:val="8206A13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536D4910"/>
    <w:multiLevelType w:val="hybridMultilevel"/>
    <w:tmpl w:val="61FC73C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95"/>
    <w:rsid w:val="005710C1"/>
    <w:rsid w:val="00E76095"/>
    <w:rsid w:val="00EC4A0A"/>
    <w:rsid w:val="169E08D6"/>
    <w:rsid w:val="5803B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1D1C"/>
  <w15:chartTrackingRefBased/>
  <w15:docId w15:val="{10F6529A-ECCC-47D0-AACA-4AB47DC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760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95"/>
    <w:rPr>
      <w:u w:val="single"/>
    </w:rPr>
  </w:style>
  <w:style w:type="paragraph" w:customStyle="1" w:styleId="HeaderFooter">
    <w:name w:val="Header &amp; Footer"/>
    <w:rsid w:val="00E7609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Footer">
    <w:name w:val="footer"/>
    <w:link w:val="FooterChar"/>
    <w:rsid w:val="00E76095"/>
    <w:pPr>
      <w:pBdr>
        <w:top w:val="nil"/>
        <w:left w:val="nil"/>
        <w:bottom w:val="nil"/>
        <w:right w:val="nil"/>
        <w:between w:val="nil"/>
        <w:bar w:val="nil"/>
      </w:pBdr>
      <w:tabs>
        <w:tab w:val="center" w:pos="4320"/>
        <w:tab w:val="right" w:pos="8640"/>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E76095"/>
    <w:rPr>
      <w:rFonts w:ascii="Calibri" w:eastAsia="Calibri" w:hAnsi="Calibri" w:cs="Calibri"/>
      <w:color w:val="000000"/>
      <w:u w:color="000000"/>
      <w:bdr w:val="nil"/>
      <w:lang w:val="en-US" w:eastAsia="en-GB"/>
    </w:rPr>
  </w:style>
  <w:style w:type="paragraph" w:styleId="BodyText">
    <w:name w:val="Body Text"/>
    <w:basedOn w:val="Normal"/>
    <w:link w:val="BodyTextChar"/>
    <w:uiPriority w:val="1"/>
    <w:unhideWhenUsed/>
    <w:qFormat/>
    <w:rsid w:val="00E760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0"/>
    </w:pPr>
    <w:rPr>
      <w:rFonts w:ascii="Arial" w:eastAsia="Times New Roman" w:hAnsi="Arial" w:cs="Arial"/>
      <w:sz w:val="22"/>
      <w:szCs w:val="22"/>
      <w:bdr w:val="none" w:sz="0" w:space="0" w:color="auto"/>
      <w:lang w:val="en-GB" w:eastAsia="en-GB"/>
    </w:rPr>
  </w:style>
  <w:style w:type="character" w:customStyle="1" w:styleId="BodyTextChar">
    <w:name w:val="Body Text Char"/>
    <w:basedOn w:val="DefaultParagraphFont"/>
    <w:link w:val="BodyText"/>
    <w:uiPriority w:val="1"/>
    <w:rsid w:val="00E7609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okanj\AppData\Local\Microsoft\Windows\INetCache\Content.Outlook\Remuneration%20Policy\Procedure%20for%20Determining%20the%20Remuneration%20of%20the%20Senior%20Postholders%20and%20Clerk%20to%20the%20Corporation%202019.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2E8B1AA38AAA4E8584FB4F7CD15B5A" ma:contentTypeVersion="13" ma:contentTypeDescription="Create a new document." ma:contentTypeScope="" ma:versionID="c49712b62c9270c4de5bc86cb5e9d7ce">
  <xsd:schema xmlns:xsd="http://www.w3.org/2001/XMLSchema" xmlns:xs="http://www.w3.org/2001/XMLSchema" xmlns:p="http://schemas.microsoft.com/office/2006/metadata/properties" xmlns:ns3="e2c97c51-ec34-415a-9b56-b194c76bb831" xmlns:ns4="48f8ed25-cc62-46b5-8e45-74efa9bfc363" targetNamespace="http://schemas.microsoft.com/office/2006/metadata/properties" ma:root="true" ma:fieldsID="b04eff51cde110003502f68d40ef9bcb" ns3:_="" ns4:_="">
    <xsd:import namespace="e2c97c51-ec34-415a-9b56-b194c76bb831"/>
    <xsd:import namespace="48f8ed25-cc62-46b5-8e45-74efa9bfc3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97c51-ec34-415a-9b56-b194c76bb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8ed25-cc62-46b5-8e45-74efa9bfc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C5A1C-2D35-4635-9384-7ABEE491711C}">
  <ds:schemaRefs>
    <ds:schemaRef ds:uri="http://purl.org/dc/elements/1.1/"/>
    <ds:schemaRef ds:uri="http://purl.org/dc/terms/"/>
    <ds:schemaRef ds:uri="48f8ed25-cc62-46b5-8e45-74efa9bfc363"/>
    <ds:schemaRef ds:uri="http://purl.org/dc/dcmitype/"/>
    <ds:schemaRef ds:uri="http://schemas.openxmlformats.org/package/2006/metadata/core-properties"/>
    <ds:schemaRef ds:uri="e2c97c51-ec34-415a-9b56-b194c76bb83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575229-431A-47FB-AD88-4529B4FCC37F}">
  <ds:schemaRefs>
    <ds:schemaRef ds:uri="http://schemas.microsoft.com/sharepoint/v3/contenttype/forms"/>
  </ds:schemaRefs>
</ds:datastoreItem>
</file>

<file path=customXml/itemProps3.xml><?xml version="1.0" encoding="utf-8"?>
<ds:datastoreItem xmlns:ds="http://schemas.openxmlformats.org/officeDocument/2006/customXml" ds:itemID="{1A911AD5-738F-489B-B9A2-C68D95D31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97c51-ec34-415a-9b56-b194c76bb831"/>
    <ds:schemaRef ds:uri="48f8ed25-cc62-46b5-8e45-74efa9bfc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Eastwood, Victoria</dc:creator>
  <cp:keywords/>
  <dc:description/>
  <cp:lastModifiedBy>Sokan, Jola</cp:lastModifiedBy>
  <cp:revision>2</cp:revision>
  <dcterms:created xsi:type="dcterms:W3CDTF">2021-01-08T14:15:00Z</dcterms:created>
  <dcterms:modified xsi:type="dcterms:W3CDTF">2021-01-08T14:15:00Z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0x0101001C2E8B1AA38AAA4E8584FB4F7CD15B5A</vt:lpwstr>
  </property>
</Properties>
</file>